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A0E3B" w14:textId="67BC5C06" w:rsidR="00255857" w:rsidRDefault="0068246D" w:rsidP="00BF11EF">
      <w:pPr>
        <w:pStyle w:val="a9"/>
        <w:numPr>
          <w:ilvl w:val="0"/>
          <w:numId w:val="1"/>
        </w:numPr>
        <w:jc w:val="left"/>
      </w:pPr>
      <w:bookmarkStart w:id="0" w:name="_Hlk206510340"/>
      <w:r>
        <w:rPr>
          <w:rFonts w:hint="eastAsia"/>
        </w:rPr>
        <w:t>リンカーの異なるscFv-T3AP</w:t>
      </w:r>
      <w:r w:rsidR="006C39CA">
        <w:rPr>
          <w:rFonts w:hint="eastAsia"/>
        </w:rPr>
        <w:t>の設計</w:t>
      </w:r>
    </w:p>
    <w:bookmarkEnd w:id="0"/>
    <w:p w14:paraId="648BF845" w14:textId="0CBF584F" w:rsidR="006C39CA" w:rsidRPr="006C39CA" w:rsidRDefault="006C39CA" w:rsidP="006C39CA">
      <w:r>
        <w:rPr>
          <w:rFonts w:hint="eastAsia"/>
        </w:rPr>
        <w:t xml:space="preserve">　</w:t>
      </w:r>
      <w:r>
        <w:rPr>
          <w:rFonts w:hint="eastAsia"/>
        </w:rPr>
        <w:t>scFv-T3APは、</w:t>
      </w:r>
      <w:proofErr w:type="spellStart"/>
      <w:r>
        <w:rPr>
          <w:rFonts w:hint="eastAsia"/>
        </w:rPr>
        <w:t>scFv</w:t>
      </w:r>
      <w:proofErr w:type="spellEnd"/>
      <w:r>
        <w:rPr>
          <w:rFonts w:hint="eastAsia"/>
        </w:rPr>
        <w:t>のVHとVLの間および</w:t>
      </w:r>
      <w:proofErr w:type="spellStart"/>
      <w:r>
        <w:rPr>
          <w:rFonts w:hint="eastAsia"/>
        </w:rPr>
        <w:t>scFv</w:t>
      </w:r>
      <w:proofErr w:type="spellEnd"/>
      <w:r>
        <w:rPr>
          <w:rFonts w:hint="eastAsia"/>
        </w:rPr>
        <w:t>とAPの間にフレキシブルリンカーが存在する。今回は、これをFLFLとする。さらに、この二つのフレキシブルリンカーをそれぞれPLリンカーに変更したFLPL、PLFL、PLPLを設計し、異なるリンカーが与える影響を検討した。</w:t>
      </w:r>
    </w:p>
    <w:p w14:paraId="15AD29B0" w14:textId="77777777" w:rsidR="006C39CA" w:rsidRDefault="006C39CA" w:rsidP="006C39CA">
      <w:pPr>
        <w:pStyle w:val="a9"/>
        <w:ind w:left="0"/>
        <w:jc w:val="left"/>
        <w:rPr>
          <w:rFonts w:hint="eastAsia"/>
        </w:rPr>
      </w:pPr>
    </w:p>
    <w:p w14:paraId="072C2B1F" w14:textId="77777777" w:rsidR="006C39CA" w:rsidRDefault="006C39CA" w:rsidP="006C39CA">
      <w:pPr>
        <w:keepNext/>
        <w:jc w:val="center"/>
      </w:pPr>
      <w:r>
        <w:rPr>
          <w:noProof/>
        </w:rPr>
        <w:drawing>
          <wp:inline distT="0" distB="0" distL="0" distR="0" wp14:anchorId="549CCEB9" wp14:editId="1EB36048">
            <wp:extent cx="5295569" cy="1675133"/>
            <wp:effectExtent l="0" t="0" r="635" b="0"/>
            <wp:docPr id="14138174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214" cy="16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88FCD" w14:textId="523A44A2" w:rsidR="006C39CA" w:rsidRPr="006C39CA" w:rsidRDefault="006C39CA" w:rsidP="006C39CA">
      <w:pPr>
        <w:pStyle w:val="aa"/>
        <w:jc w:val="center"/>
        <w:rPr>
          <w:b w:val="0"/>
          <w:bCs w:val="0"/>
        </w:rPr>
      </w:pPr>
      <w:r w:rsidRPr="00185321">
        <w:rPr>
          <w:b w:val="0"/>
          <w:bCs w:val="0"/>
        </w:rPr>
        <w:t xml:space="preserve">Fig. </w:t>
      </w:r>
      <w:r>
        <w:rPr>
          <w:rFonts w:hint="eastAsia"/>
          <w:b w:val="0"/>
          <w:bCs w:val="0"/>
        </w:rPr>
        <w:t>1-</w:t>
      </w:r>
      <w:r w:rsidRPr="00185321">
        <w:rPr>
          <w:b w:val="0"/>
          <w:bCs w:val="0"/>
        </w:rPr>
        <w:fldChar w:fldCharType="begin"/>
      </w:r>
      <w:r w:rsidRPr="00185321">
        <w:rPr>
          <w:b w:val="0"/>
          <w:bCs w:val="0"/>
        </w:rPr>
        <w:instrText xml:space="preserve"> SEQ Fig. \* ARABIC </w:instrText>
      </w:r>
      <w:r w:rsidRPr="00185321">
        <w:rPr>
          <w:b w:val="0"/>
          <w:bCs w:val="0"/>
        </w:rPr>
        <w:fldChar w:fldCharType="separate"/>
      </w:r>
      <w:r w:rsidR="00E72195">
        <w:rPr>
          <w:b w:val="0"/>
          <w:bCs w:val="0"/>
          <w:noProof/>
        </w:rPr>
        <w:t>1</w:t>
      </w:r>
      <w:r w:rsidRPr="00185321">
        <w:rPr>
          <w:b w:val="0"/>
          <w:bCs w:val="0"/>
        </w:rPr>
        <w:fldChar w:fldCharType="end"/>
      </w:r>
      <w:r>
        <w:rPr>
          <w:rFonts w:hint="eastAsia"/>
          <w:b w:val="0"/>
          <w:bCs w:val="0"/>
        </w:rPr>
        <w:t xml:space="preserve"> リンカーの異なるscFv-T3APの設計</w:t>
      </w:r>
    </w:p>
    <w:p w14:paraId="63831C92" w14:textId="68C06C45" w:rsidR="006C39CA" w:rsidRDefault="006C39CA">
      <w:pPr>
        <w:widowControl/>
        <w:jc w:val="left"/>
      </w:pPr>
      <w:r>
        <w:br w:type="page"/>
      </w:r>
    </w:p>
    <w:p w14:paraId="713552EA" w14:textId="1D21D5EA" w:rsidR="006C39CA" w:rsidRDefault="006C39CA" w:rsidP="00BF11EF">
      <w:pPr>
        <w:pStyle w:val="a9"/>
        <w:numPr>
          <w:ilvl w:val="0"/>
          <w:numId w:val="1"/>
        </w:numPr>
        <w:jc w:val="left"/>
      </w:pPr>
      <w:bookmarkStart w:id="1" w:name="_Hlk206510353"/>
      <w:r>
        <w:rPr>
          <w:rFonts w:hint="eastAsia"/>
        </w:rPr>
        <w:lastRenderedPageBreak/>
        <w:t>リンカーの異なるscFv-T3APの</w:t>
      </w:r>
      <w:r>
        <w:rPr>
          <w:rFonts w:hint="eastAsia"/>
        </w:rPr>
        <w:t>生産</w:t>
      </w:r>
    </w:p>
    <w:p w14:paraId="5D8244A2" w14:textId="60F05DC9" w:rsidR="0068246D" w:rsidRDefault="0068246D" w:rsidP="0068246D">
      <w:pPr>
        <w:pStyle w:val="a9"/>
        <w:numPr>
          <w:ilvl w:val="1"/>
          <w:numId w:val="1"/>
        </w:numPr>
        <w:jc w:val="left"/>
      </w:pPr>
      <w:r>
        <w:rPr>
          <w:rFonts w:hint="eastAsia"/>
        </w:rPr>
        <w:t>SDS-PAGE、Western Blottingによる</w:t>
      </w:r>
      <w:r>
        <w:rPr>
          <w:rFonts w:hint="eastAsia"/>
        </w:rPr>
        <w:t>発現確認</w:t>
      </w:r>
    </w:p>
    <w:bookmarkEnd w:id="1"/>
    <w:p w14:paraId="2FBDA138" w14:textId="52E9E931" w:rsidR="00BB3F81" w:rsidRDefault="00BB3F81" w:rsidP="009D2782">
      <w:pPr>
        <w:pStyle w:val="a9"/>
        <w:ind w:left="0"/>
        <w:jc w:val="left"/>
        <w:rPr>
          <w:rFonts w:hint="eastAsia"/>
        </w:rPr>
      </w:pPr>
      <w:r>
        <w:rPr>
          <w:rFonts w:hint="eastAsia"/>
        </w:rPr>
        <w:t xml:space="preserve">　リンカーの異なる</w:t>
      </w:r>
      <w:r>
        <w:rPr>
          <w:rFonts w:hint="eastAsia"/>
        </w:rPr>
        <w:t>scFv-</w:t>
      </w:r>
      <w:r>
        <w:rPr>
          <w:rFonts w:hint="eastAsia"/>
        </w:rPr>
        <w:t>T3</w:t>
      </w:r>
      <w:r>
        <w:rPr>
          <w:rFonts w:hint="eastAsia"/>
        </w:rPr>
        <w:t>APをCHO細胞にトランスフェクションし、10日目にサンプルを回収した。SDS-PAGEおよびWestern Blottingによってそれぞれのサンプルを分析した結果をFig.</w:t>
      </w:r>
      <w:r>
        <w:rPr>
          <w:rFonts w:hint="eastAsia"/>
        </w:rPr>
        <w:t>2</w:t>
      </w:r>
      <w:r>
        <w:rPr>
          <w:rFonts w:hint="eastAsia"/>
        </w:rPr>
        <w:t>-1-1に示す。</w:t>
      </w:r>
    </w:p>
    <w:p w14:paraId="7288DC8B" w14:textId="77777777" w:rsidR="00BB3F81" w:rsidRPr="00BB3F81" w:rsidRDefault="00BB3F81" w:rsidP="009D2782">
      <w:pPr>
        <w:pStyle w:val="a9"/>
        <w:ind w:left="0"/>
        <w:jc w:val="left"/>
        <w:rPr>
          <w:rFonts w:hint="eastAsia"/>
        </w:rPr>
      </w:pPr>
    </w:p>
    <w:p w14:paraId="0E63671D" w14:textId="77777777" w:rsidR="009D2782" w:rsidRDefault="009D2782" w:rsidP="009D2782">
      <w:pPr>
        <w:pStyle w:val="a9"/>
        <w:ind w:left="0"/>
        <w:jc w:val="center"/>
      </w:pPr>
      <w:r>
        <w:rPr>
          <w:noProof/>
        </w:rPr>
        <w:drawing>
          <wp:inline distT="0" distB="0" distL="0" distR="0" wp14:anchorId="6AC47C28" wp14:editId="49A04565">
            <wp:extent cx="5759003" cy="6235626"/>
            <wp:effectExtent l="0" t="0" r="0" b="0"/>
            <wp:docPr id="16596095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92" b="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66" cy="626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786D3" w14:textId="5F7F75C2" w:rsidR="009D2782" w:rsidRDefault="009D2782" w:rsidP="009D2782">
      <w:pPr>
        <w:pStyle w:val="aa"/>
        <w:jc w:val="center"/>
        <w:rPr>
          <w:b w:val="0"/>
          <w:bCs w:val="0"/>
        </w:rPr>
      </w:pPr>
      <w:r w:rsidRPr="00885D48">
        <w:rPr>
          <w:b w:val="0"/>
          <w:bCs w:val="0"/>
        </w:rPr>
        <w:t xml:space="preserve">Fig. </w:t>
      </w:r>
      <w:r w:rsidR="006C39CA">
        <w:rPr>
          <w:rFonts w:hint="eastAsia"/>
          <w:b w:val="0"/>
          <w:bCs w:val="0"/>
        </w:rPr>
        <w:t>2</w:t>
      </w:r>
      <w:r>
        <w:rPr>
          <w:rFonts w:hint="eastAsia"/>
          <w:b w:val="0"/>
          <w:bCs w:val="0"/>
        </w:rPr>
        <w:t>-1</w:t>
      </w:r>
      <w:r w:rsidR="009101B9">
        <w:rPr>
          <w:rFonts w:hint="eastAsia"/>
          <w:b w:val="0"/>
          <w:bCs w:val="0"/>
        </w:rPr>
        <w:t>-1</w:t>
      </w:r>
      <w:r>
        <w:rPr>
          <w:rFonts w:hint="eastAsia"/>
          <w:b w:val="0"/>
          <w:bCs w:val="0"/>
        </w:rPr>
        <w:t xml:space="preserve">　トランスフェクションから10日目でのscFv-T3APの発現および精製確認</w:t>
      </w:r>
    </w:p>
    <w:p w14:paraId="027C047A" w14:textId="77777777" w:rsidR="009D2782" w:rsidRDefault="009D2782" w:rsidP="009D2782">
      <w:pPr>
        <w:pStyle w:val="a9"/>
        <w:ind w:left="0"/>
        <w:jc w:val="center"/>
        <w:rPr>
          <w:rFonts w:hint="eastAsia"/>
        </w:rPr>
      </w:pPr>
      <w:r>
        <w:rPr>
          <w:rFonts w:hint="eastAsia"/>
        </w:rPr>
        <w:t>(a) SDS-PAGE および (b)Western Blotting</w:t>
      </w:r>
    </w:p>
    <w:p w14:paraId="7A8310EB" w14:textId="68E605A0" w:rsidR="00AC01E1" w:rsidRDefault="00BB3F81" w:rsidP="0068246D">
      <w:pPr>
        <w:pStyle w:val="a9"/>
        <w:numPr>
          <w:ilvl w:val="1"/>
          <w:numId w:val="1"/>
        </w:numPr>
        <w:jc w:val="left"/>
      </w:pPr>
      <w:bookmarkStart w:id="2" w:name="_Hlk206510363"/>
      <w:r>
        <w:rPr>
          <w:rFonts w:hint="eastAsia"/>
        </w:rPr>
        <w:lastRenderedPageBreak/>
        <w:t>リンカーの異なるscFv-T3APの定量</w:t>
      </w:r>
    </w:p>
    <w:bookmarkEnd w:id="2"/>
    <w:p w14:paraId="053288B4" w14:textId="4B410C52" w:rsidR="009101B9" w:rsidRDefault="00BB3F81" w:rsidP="00F715D2">
      <w:pPr>
        <w:jc w:val="left"/>
      </w:pPr>
      <w:r>
        <w:rPr>
          <w:rFonts w:hint="eastAsia"/>
        </w:rPr>
        <w:t xml:space="preserve">　</w:t>
      </w:r>
      <w:r>
        <w:rPr>
          <w:rFonts w:hint="eastAsia"/>
        </w:rPr>
        <w:t>Lowry法でそれぞれのscFv-</w:t>
      </w:r>
      <w:r>
        <w:rPr>
          <w:rFonts w:hint="eastAsia"/>
        </w:rPr>
        <w:t>T3</w:t>
      </w:r>
      <w:r>
        <w:rPr>
          <w:rFonts w:hint="eastAsia"/>
        </w:rPr>
        <w:t xml:space="preserve">APの濃度を定量した。その結果をTable. </w:t>
      </w:r>
      <w:r>
        <w:rPr>
          <w:rFonts w:hint="eastAsia"/>
        </w:rPr>
        <w:t>2</w:t>
      </w:r>
      <w:r>
        <w:rPr>
          <w:rFonts w:hint="eastAsia"/>
        </w:rPr>
        <w:t>-</w:t>
      </w:r>
      <w:r>
        <w:rPr>
          <w:rFonts w:hint="eastAsia"/>
        </w:rPr>
        <w:t>2</w:t>
      </w:r>
      <w:r>
        <w:rPr>
          <w:rFonts w:hint="eastAsia"/>
        </w:rPr>
        <w:t>-</w:t>
      </w:r>
      <w:r>
        <w:rPr>
          <w:rFonts w:hint="eastAsia"/>
        </w:rPr>
        <w:t>1</w:t>
      </w:r>
      <w:r>
        <w:rPr>
          <w:rFonts w:hint="eastAsia"/>
        </w:rPr>
        <w:t>に示す。</w:t>
      </w:r>
    </w:p>
    <w:p w14:paraId="3DD75BA0" w14:textId="77777777" w:rsidR="00BB3F81" w:rsidRDefault="00BB3F81" w:rsidP="00F715D2">
      <w:pPr>
        <w:jc w:val="left"/>
        <w:rPr>
          <w:rFonts w:hint="eastAsia"/>
        </w:rPr>
      </w:pPr>
    </w:p>
    <w:p w14:paraId="340635FF" w14:textId="59728C83" w:rsidR="00BB3F81" w:rsidRDefault="00BB3F81" w:rsidP="00BB3F81">
      <w:pPr>
        <w:pStyle w:val="aa"/>
        <w:keepNext/>
        <w:jc w:val="center"/>
      </w:pPr>
      <w:r w:rsidRPr="00BB3F81">
        <w:rPr>
          <w:b w:val="0"/>
          <w:bCs w:val="0"/>
        </w:rPr>
        <w:t xml:space="preserve">Table. </w:t>
      </w:r>
      <w:r>
        <w:rPr>
          <w:rFonts w:hint="eastAsia"/>
          <w:b w:val="0"/>
          <w:bCs w:val="0"/>
        </w:rPr>
        <w:t>2-2-</w:t>
      </w:r>
      <w:r w:rsidRPr="00BB3F81">
        <w:rPr>
          <w:b w:val="0"/>
          <w:bCs w:val="0"/>
        </w:rPr>
        <w:fldChar w:fldCharType="begin"/>
      </w:r>
      <w:r w:rsidRPr="00BB3F81">
        <w:rPr>
          <w:b w:val="0"/>
          <w:bCs w:val="0"/>
        </w:rPr>
        <w:instrText xml:space="preserve"> SEQ Table. \* ARABIC </w:instrText>
      </w:r>
      <w:r w:rsidRPr="00BB3F81">
        <w:rPr>
          <w:b w:val="0"/>
          <w:bCs w:val="0"/>
        </w:rPr>
        <w:fldChar w:fldCharType="separate"/>
      </w:r>
      <w:r w:rsidRPr="00BB3F81">
        <w:rPr>
          <w:b w:val="0"/>
          <w:bCs w:val="0"/>
          <w:noProof/>
        </w:rPr>
        <w:t>1</w:t>
      </w:r>
      <w:r w:rsidRPr="00BB3F81">
        <w:rPr>
          <w:b w:val="0"/>
          <w:bCs w:val="0"/>
        </w:rPr>
        <w:fldChar w:fldCharType="end"/>
      </w:r>
      <w:r>
        <w:rPr>
          <w:rFonts w:hint="eastAsia"/>
          <w:b w:val="0"/>
          <w:bCs w:val="0"/>
        </w:rPr>
        <w:t>リンカーの異なるscFv-T3APの生産量</w:t>
      </w:r>
    </w:p>
    <w:p w14:paraId="60DF5A77" w14:textId="77777777" w:rsidR="009101B9" w:rsidRDefault="00C43C30" w:rsidP="009101B9">
      <w:pPr>
        <w:pStyle w:val="a9"/>
        <w:keepNext/>
        <w:ind w:left="0"/>
        <w:jc w:val="center"/>
      </w:pPr>
      <w:r w:rsidRPr="00C43C30">
        <w:rPr>
          <w:rFonts w:hint="eastAsia"/>
        </w:rPr>
        <w:drawing>
          <wp:inline distT="0" distB="0" distL="0" distR="0" wp14:anchorId="4A0B692C" wp14:editId="4EADFCB8">
            <wp:extent cx="2009140" cy="1326515"/>
            <wp:effectExtent l="0" t="0" r="0" b="0"/>
            <wp:docPr id="107335676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67901" w14:textId="77777777" w:rsidR="00BB3F81" w:rsidRDefault="00BB3F81" w:rsidP="00BB3F81">
      <w:pPr>
        <w:pStyle w:val="aa"/>
        <w:rPr>
          <w:b w:val="0"/>
          <w:bCs w:val="0"/>
        </w:rPr>
      </w:pPr>
    </w:p>
    <w:p w14:paraId="40301CB7" w14:textId="000006BD" w:rsidR="001D086C" w:rsidRDefault="009101B9" w:rsidP="001D086C">
      <w:pPr>
        <w:rPr>
          <w:rFonts w:hint="eastAsia"/>
        </w:rPr>
      </w:pPr>
      <w:r>
        <w:rPr>
          <w:rFonts w:hint="eastAsia"/>
          <w:b/>
          <w:bCs/>
        </w:rPr>
        <w:t xml:space="preserve"> </w:t>
      </w:r>
      <w:r w:rsidR="001D086C">
        <w:rPr>
          <w:rFonts w:hint="eastAsia"/>
        </w:rPr>
        <w:t>Table. 2-2-1より、FLFLおよびFLPLは同程度の生産量であり、PLFLおよびPLPLは、FLFLとFLPLと比較し生産量が少ないことが分かった。これにより、</w:t>
      </w:r>
      <w:proofErr w:type="spellStart"/>
      <w:r w:rsidR="001D086C">
        <w:rPr>
          <w:rFonts w:hint="eastAsia"/>
        </w:rPr>
        <w:t>scFv</w:t>
      </w:r>
      <w:proofErr w:type="spellEnd"/>
      <w:r w:rsidR="001D086C">
        <w:rPr>
          <w:rFonts w:hint="eastAsia"/>
        </w:rPr>
        <w:t>のVHとVLの間のリンカーは、フレキシブルリンカーである方が生産量は多くなることが示唆された。</w:t>
      </w:r>
    </w:p>
    <w:p w14:paraId="081CD42D" w14:textId="10CA73D2" w:rsidR="00AC01E1" w:rsidRPr="001D086C" w:rsidRDefault="00AC01E1" w:rsidP="00BB3F81">
      <w:pPr>
        <w:pStyle w:val="aa"/>
        <w:rPr>
          <w:rFonts w:hint="eastAsia"/>
          <w:b w:val="0"/>
          <w:bCs w:val="0"/>
        </w:rPr>
      </w:pPr>
    </w:p>
    <w:p w14:paraId="3931236E" w14:textId="77777777" w:rsidR="009101B9" w:rsidRDefault="009101B9" w:rsidP="00C43C30">
      <w:pPr>
        <w:pStyle w:val="a9"/>
        <w:ind w:left="0"/>
        <w:jc w:val="center"/>
        <w:rPr>
          <w:rFonts w:hint="eastAsia"/>
        </w:rPr>
      </w:pPr>
    </w:p>
    <w:p w14:paraId="3E4D8882" w14:textId="77777777" w:rsidR="00AC01E1" w:rsidRDefault="00AC01E1" w:rsidP="00AC01E1">
      <w:pPr>
        <w:widowControl/>
        <w:jc w:val="left"/>
      </w:pPr>
      <w:r>
        <w:br w:type="page"/>
      </w:r>
    </w:p>
    <w:p w14:paraId="51DA1CAA" w14:textId="09B1E84B" w:rsidR="00565F87" w:rsidRDefault="0068246D" w:rsidP="00F522BD">
      <w:pPr>
        <w:pStyle w:val="a9"/>
        <w:widowControl/>
        <w:numPr>
          <w:ilvl w:val="0"/>
          <w:numId w:val="3"/>
        </w:numPr>
        <w:jc w:val="left"/>
      </w:pPr>
      <w:r>
        <w:rPr>
          <w:rFonts w:hint="eastAsia"/>
        </w:rPr>
        <w:lastRenderedPageBreak/>
        <w:t>リンカーの異なる</w:t>
      </w:r>
      <w:r w:rsidR="00A46615">
        <w:rPr>
          <w:rFonts w:hint="eastAsia"/>
        </w:rPr>
        <w:t>scFv-T3APを利用したELISA</w:t>
      </w:r>
    </w:p>
    <w:p w14:paraId="0679FF76" w14:textId="792CBA70" w:rsidR="00A46615" w:rsidRDefault="00A46615" w:rsidP="00A46615">
      <w:pPr>
        <w:pStyle w:val="a9"/>
        <w:widowControl/>
        <w:numPr>
          <w:ilvl w:val="1"/>
          <w:numId w:val="3"/>
        </w:numPr>
        <w:jc w:val="left"/>
      </w:pPr>
      <w:r>
        <w:rPr>
          <w:rFonts w:hint="eastAsia"/>
        </w:rPr>
        <w:t>直接ELISA</w:t>
      </w:r>
    </w:p>
    <w:p w14:paraId="15EEF675" w14:textId="7838963C" w:rsidR="002F23AD" w:rsidRDefault="002F23AD" w:rsidP="002F23AD">
      <w:pPr>
        <w:pStyle w:val="a9"/>
        <w:ind w:left="0"/>
        <w:jc w:val="left"/>
      </w:pPr>
      <w:r>
        <w:rPr>
          <w:rFonts w:hint="eastAsia"/>
        </w:rPr>
        <w:t xml:space="preserve">　リンカーの異なる</w:t>
      </w:r>
      <w:r>
        <w:rPr>
          <w:rFonts w:hint="eastAsia"/>
        </w:rPr>
        <w:t>scFv-T3AP溶液を用いて</w:t>
      </w:r>
      <w:r>
        <w:rPr>
          <w:rFonts w:hint="eastAsia"/>
        </w:rPr>
        <w:t>直接</w:t>
      </w:r>
      <w:r>
        <w:rPr>
          <w:rFonts w:hint="eastAsia"/>
        </w:rPr>
        <w:t>ELISAを行い、</w:t>
      </w:r>
      <w:proofErr w:type="spellStart"/>
      <w:r w:rsidRPr="00794ABD">
        <w:t>scFv</w:t>
      </w:r>
      <w:proofErr w:type="spellEnd"/>
      <w:r w:rsidRPr="00794ABD">
        <w:t>の抗原認識力と抗原認識後のAPの活性を評価した。</w:t>
      </w:r>
      <w:r>
        <w:rPr>
          <w:rFonts w:hint="eastAsia"/>
        </w:rPr>
        <w:t xml:space="preserve">その結果をFig. </w:t>
      </w:r>
      <w:r>
        <w:rPr>
          <w:rFonts w:hint="eastAsia"/>
        </w:rPr>
        <w:t>3</w:t>
      </w:r>
      <w:r>
        <w:rPr>
          <w:rFonts w:hint="eastAsia"/>
        </w:rPr>
        <w:t>-</w:t>
      </w:r>
      <w:r>
        <w:rPr>
          <w:rFonts w:hint="eastAsia"/>
        </w:rPr>
        <w:t>1</w:t>
      </w:r>
      <w:r>
        <w:rPr>
          <w:rFonts w:hint="eastAsia"/>
        </w:rPr>
        <w:t>-2に示す。</w:t>
      </w:r>
    </w:p>
    <w:p w14:paraId="0DFA4995" w14:textId="0B71957D" w:rsidR="00F522BD" w:rsidRDefault="00F522BD" w:rsidP="00F522BD">
      <w:pPr>
        <w:widowControl/>
        <w:jc w:val="left"/>
      </w:pPr>
    </w:p>
    <w:p w14:paraId="0B27E16E" w14:textId="77777777" w:rsidR="00F522BD" w:rsidRDefault="00F522BD" w:rsidP="00F522BD">
      <w:pPr>
        <w:pStyle w:val="a9"/>
        <w:keepNext/>
        <w:widowControl/>
        <w:ind w:left="0"/>
        <w:jc w:val="center"/>
      </w:pPr>
      <w:r>
        <w:rPr>
          <w:noProof/>
        </w:rPr>
        <w:drawing>
          <wp:inline distT="0" distB="0" distL="0" distR="0" wp14:anchorId="7C63DBFB" wp14:editId="4561315B">
            <wp:extent cx="3000518" cy="1631853"/>
            <wp:effectExtent l="0" t="0" r="0" b="6985"/>
            <wp:docPr id="124050753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44" cy="164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EAC4C" w14:textId="4B2C4480" w:rsidR="00F522BD" w:rsidRDefault="003B4AFB" w:rsidP="003B4AFB">
      <w:pPr>
        <w:pStyle w:val="aa"/>
        <w:tabs>
          <w:tab w:val="center" w:pos="4252"/>
          <w:tab w:val="left" w:pos="6690"/>
        </w:tabs>
        <w:jc w:val="left"/>
        <w:rPr>
          <w:b w:val="0"/>
          <w:bCs w:val="0"/>
        </w:rPr>
      </w:pPr>
      <w:r>
        <w:rPr>
          <w:b w:val="0"/>
          <w:bCs w:val="0"/>
        </w:rPr>
        <w:tab/>
      </w:r>
      <w:r w:rsidR="00F522BD" w:rsidRPr="00F522BD">
        <w:rPr>
          <w:b w:val="0"/>
          <w:bCs w:val="0"/>
        </w:rPr>
        <w:t xml:space="preserve">Fig. </w:t>
      </w:r>
      <w:r w:rsidR="00F522BD">
        <w:rPr>
          <w:rFonts w:hint="eastAsia"/>
          <w:b w:val="0"/>
          <w:bCs w:val="0"/>
        </w:rPr>
        <w:t>3-1-1 直接ELISAの模式図</w:t>
      </w:r>
      <w:r>
        <w:rPr>
          <w:b w:val="0"/>
          <w:bCs w:val="0"/>
        </w:rPr>
        <w:tab/>
      </w:r>
    </w:p>
    <w:p w14:paraId="29CAA5C9" w14:textId="77777777" w:rsidR="003B4AFB" w:rsidRDefault="003B4AFB" w:rsidP="003B4AFB"/>
    <w:p w14:paraId="0FE9D684" w14:textId="77777777" w:rsidR="003B4AFB" w:rsidRDefault="003B4AFB" w:rsidP="003B4AFB">
      <w:pPr>
        <w:keepNext/>
        <w:jc w:val="center"/>
      </w:pPr>
      <w:r>
        <w:rPr>
          <w:noProof/>
        </w:rPr>
        <w:drawing>
          <wp:inline distT="0" distB="0" distL="0" distR="0" wp14:anchorId="6E667C99" wp14:editId="1D086017">
            <wp:extent cx="4505325" cy="2329180"/>
            <wp:effectExtent l="0" t="0" r="9525" b="0"/>
            <wp:docPr id="44040765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DE5AF" w14:textId="7FABBD7C" w:rsidR="003B4AFB" w:rsidRDefault="00C21663" w:rsidP="00C21663">
      <w:pPr>
        <w:pStyle w:val="aa"/>
        <w:tabs>
          <w:tab w:val="center" w:pos="4252"/>
          <w:tab w:val="left" w:pos="6875"/>
        </w:tabs>
        <w:jc w:val="left"/>
        <w:rPr>
          <w:b w:val="0"/>
          <w:bCs w:val="0"/>
        </w:rPr>
      </w:pPr>
      <w:r>
        <w:rPr>
          <w:b w:val="0"/>
          <w:bCs w:val="0"/>
        </w:rPr>
        <w:tab/>
      </w:r>
      <w:r w:rsidR="003B4AFB" w:rsidRPr="003B4AFB">
        <w:rPr>
          <w:b w:val="0"/>
          <w:bCs w:val="0"/>
        </w:rPr>
        <w:t xml:space="preserve">Fig. </w:t>
      </w:r>
      <w:r w:rsidR="003B4AFB">
        <w:rPr>
          <w:rFonts w:hint="eastAsia"/>
          <w:b w:val="0"/>
          <w:bCs w:val="0"/>
        </w:rPr>
        <w:t>3-1-</w:t>
      </w:r>
      <w:r w:rsidR="003B4AFB" w:rsidRPr="003B4AFB">
        <w:rPr>
          <w:b w:val="0"/>
          <w:bCs w:val="0"/>
        </w:rPr>
        <w:fldChar w:fldCharType="begin"/>
      </w:r>
      <w:r w:rsidR="003B4AFB" w:rsidRPr="003B4AFB">
        <w:rPr>
          <w:b w:val="0"/>
          <w:bCs w:val="0"/>
        </w:rPr>
        <w:instrText xml:space="preserve"> SEQ Fig. \* ARABIC </w:instrText>
      </w:r>
      <w:r w:rsidR="003B4AFB" w:rsidRPr="003B4AFB">
        <w:rPr>
          <w:b w:val="0"/>
          <w:bCs w:val="0"/>
        </w:rPr>
        <w:fldChar w:fldCharType="separate"/>
      </w:r>
      <w:r w:rsidR="00E72195">
        <w:rPr>
          <w:b w:val="0"/>
          <w:bCs w:val="0"/>
          <w:noProof/>
        </w:rPr>
        <w:t>2</w:t>
      </w:r>
      <w:r w:rsidR="003B4AFB" w:rsidRPr="003B4AFB">
        <w:rPr>
          <w:b w:val="0"/>
          <w:bCs w:val="0"/>
        </w:rPr>
        <w:fldChar w:fldCharType="end"/>
      </w:r>
      <w:r w:rsidR="003B4AFB">
        <w:rPr>
          <w:rFonts w:hint="eastAsia"/>
          <w:b w:val="0"/>
          <w:bCs w:val="0"/>
        </w:rPr>
        <w:t xml:space="preserve"> scFv-T3APを利用した直接ELISA</w:t>
      </w:r>
      <w:r>
        <w:rPr>
          <w:b w:val="0"/>
          <w:bCs w:val="0"/>
        </w:rPr>
        <w:tab/>
      </w:r>
    </w:p>
    <w:p w14:paraId="3338B5F7" w14:textId="77777777" w:rsidR="00C21663" w:rsidRDefault="00C21663" w:rsidP="00C21663"/>
    <w:p w14:paraId="7EF0C9DA" w14:textId="4F1EB19F" w:rsidR="00C21663" w:rsidRPr="00C21663" w:rsidRDefault="00C21663" w:rsidP="00C21663">
      <w:pPr>
        <w:rPr>
          <w:rFonts w:hint="eastAsia"/>
        </w:rPr>
      </w:pPr>
      <w:r>
        <w:rPr>
          <w:rFonts w:hint="eastAsia"/>
        </w:rPr>
        <w:t xml:space="preserve">　</w:t>
      </w:r>
      <w:r>
        <w:rPr>
          <w:rFonts w:hint="eastAsia"/>
        </w:rPr>
        <w:t>Fig. 3-1-2より、リンカーの異なscFv-T3APはそれぞれ抗原認識力を持っており、抗原認識後もAPの活性を保持することが明らかとなった。また、その活性はFLPL、PLFL、PLPL、FLFLの順に活性を高く持つことも示されている。</w:t>
      </w:r>
    </w:p>
    <w:p w14:paraId="43F95DBD" w14:textId="77777777" w:rsidR="00A46615" w:rsidRDefault="00A46615">
      <w:pPr>
        <w:widowControl/>
        <w:jc w:val="left"/>
      </w:pPr>
      <w:r>
        <w:br w:type="page"/>
      </w:r>
    </w:p>
    <w:p w14:paraId="40AB254D" w14:textId="4A971527" w:rsidR="00A46615" w:rsidRDefault="00A46615" w:rsidP="00A46615">
      <w:pPr>
        <w:pStyle w:val="a9"/>
        <w:widowControl/>
        <w:numPr>
          <w:ilvl w:val="1"/>
          <w:numId w:val="3"/>
        </w:numPr>
        <w:jc w:val="left"/>
      </w:pPr>
      <w:r>
        <w:rPr>
          <w:rFonts w:hint="eastAsia"/>
        </w:rPr>
        <w:lastRenderedPageBreak/>
        <w:t>Sandwich ELISA</w:t>
      </w:r>
    </w:p>
    <w:p w14:paraId="4175C326" w14:textId="66BA5A66" w:rsidR="00F522BD" w:rsidRDefault="00344DC0" w:rsidP="00F522BD">
      <w:pPr>
        <w:pStyle w:val="a9"/>
        <w:widowControl/>
        <w:ind w:left="0"/>
        <w:jc w:val="left"/>
      </w:pPr>
      <w:r>
        <w:rPr>
          <w:rFonts w:hint="eastAsia"/>
        </w:rPr>
        <w:t xml:space="preserve">　</w:t>
      </w:r>
      <w:r>
        <w:rPr>
          <w:rFonts w:hint="eastAsia"/>
        </w:rPr>
        <w:t>リンカーの異なるscFv-T3AP溶液を用いて</w:t>
      </w:r>
      <w:r>
        <w:rPr>
          <w:rFonts w:hint="eastAsia"/>
        </w:rPr>
        <w:t xml:space="preserve">sandwich </w:t>
      </w:r>
      <w:r>
        <w:rPr>
          <w:rFonts w:hint="eastAsia"/>
        </w:rPr>
        <w:t>ELISAを行い、</w:t>
      </w:r>
      <w:proofErr w:type="spellStart"/>
      <w:r w:rsidRPr="00794ABD">
        <w:t>scFv</w:t>
      </w:r>
      <w:proofErr w:type="spellEnd"/>
      <w:r w:rsidRPr="00794ABD">
        <w:t>の抗原認識力を評価した。</w:t>
      </w:r>
      <w:r>
        <w:rPr>
          <w:rFonts w:hint="eastAsia"/>
        </w:rPr>
        <w:t>その結果をFig. 3-</w:t>
      </w:r>
      <w:r>
        <w:rPr>
          <w:rFonts w:hint="eastAsia"/>
        </w:rPr>
        <w:t>2</w:t>
      </w:r>
      <w:r>
        <w:rPr>
          <w:rFonts w:hint="eastAsia"/>
        </w:rPr>
        <w:t>-2に示す。</w:t>
      </w:r>
    </w:p>
    <w:p w14:paraId="47212852" w14:textId="77777777" w:rsidR="00344DC0" w:rsidRDefault="00344DC0" w:rsidP="00F522BD">
      <w:pPr>
        <w:pStyle w:val="a9"/>
        <w:widowControl/>
        <w:ind w:left="0"/>
        <w:jc w:val="left"/>
        <w:rPr>
          <w:rFonts w:hint="eastAsia"/>
        </w:rPr>
      </w:pPr>
    </w:p>
    <w:p w14:paraId="27145197" w14:textId="77777777" w:rsidR="00F522BD" w:rsidRDefault="00F522BD" w:rsidP="00F522BD">
      <w:pPr>
        <w:pStyle w:val="a9"/>
        <w:keepNext/>
        <w:widowControl/>
        <w:ind w:left="0"/>
        <w:jc w:val="center"/>
      </w:pPr>
      <w:r>
        <w:rPr>
          <w:noProof/>
        </w:rPr>
        <w:drawing>
          <wp:inline distT="0" distB="0" distL="0" distR="0" wp14:anchorId="6238B5AA" wp14:editId="78BB27A9">
            <wp:extent cx="3742006" cy="2561835"/>
            <wp:effectExtent l="0" t="0" r="0" b="0"/>
            <wp:docPr id="1418052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73" cy="256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2499D" w14:textId="1D376659" w:rsidR="00F522BD" w:rsidRDefault="00F522BD" w:rsidP="00F522BD">
      <w:pPr>
        <w:pStyle w:val="aa"/>
        <w:jc w:val="center"/>
        <w:rPr>
          <w:b w:val="0"/>
          <w:bCs w:val="0"/>
        </w:rPr>
      </w:pPr>
      <w:r w:rsidRPr="00F522BD">
        <w:rPr>
          <w:b w:val="0"/>
          <w:bCs w:val="0"/>
        </w:rPr>
        <w:t xml:space="preserve">Fig. </w:t>
      </w:r>
      <w:r>
        <w:rPr>
          <w:rFonts w:hint="eastAsia"/>
          <w:b w:val="0"/>
          <w:bCs w:val="0"/>
        </w:rPr>
        <w:t>3</w:t>
      </w:r>
      <w:r w:rsidR="003B4AFB">
        <w:rPr>
          <w:rFonts w:hint="eastAsia"/>
          <w:b w:val="0"/>
          <w:bCs w:val="0"/>
        </w:rPr>
        <w:t>-2</w:t>
      </w:r>
      <w:r>
        <w:rPr>
          <w:rFonts w:hint="eastAsia"/>
          <w:b w:val="0"/>
          <w:bCs w:val="0"/>
        </w:rPr>
        <w:t>-1 Sandwich ELISAの模式図</w:t>
      </w:r>
    </w:p>
    <w:p w14:paraId="3F37DFBB" w14:textId="77777777" w:rsidR="003B4AFB" w:rsidRDefault="003B4AFB" w:rsidP="003B4AFB"/>
    <w:p w14:paraId="5F34D174" w14:textId="77777777" w:rsidR="003B4AFB" w:rsidRDefault="003B4AFB" w:rsidP="003B4AFB">
      <w:pPr>
        <w:keepNext/>
        <w:jc w:val="center"/>
      </w:pPr>
      <w:r>
        <w:rPr>
          <w:noProof/>
        </w:rPr>
        <w:drawing>
          <wp:inline distT="0" distB="0" distL="0" distR="0" wp14:anchorId="5CC4DFEB" wp14:editId="4722881C">
            <wp:extent cx="3963035" cy="2207260"/>
            <wp:effectExtent l="0" t="0" r="0" b="2540"/>
            <wp:docPr id="43613030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467E5" w14:textId="7CFDB3A4" w:rsidR="003B4AFB" w:rsidRDefault="003B4AFB" w:rsidP="003B4AFB">
      <w:pPr>
        <w:pStyle w:val="aa"/>
        <w:jc w:val="center"/>
        <w:rPr>
          <w:b w:val="0"/>
          <w:bCs w:val="0"/>
        </w:rPr>
      </w:pPr>
      <w:r w:rsidRPr="003B4AFB">
        <w:rPr>
          <w:b w:val="0"/>
          <w:bCs w:val="0"/>
        </w:rPr>
        <w:t xml:space="preserve">Fig. </w:t>
      </w:r>
      <w:r>
        <w:rPr>
          <w:rFonts w:hint="eastAsia"/>
          <w:b w:val="0"/>
          <w:bCs w:val="0"/>
        </w:rPr>
        <w:t>3-2-2 scFv-T3APを利用したsandwich ELISA</w:t>
      </w:r>
    </w:p>
    <w:p w14:paraId="7B0F73D5" w14:textId="77777777" w:rsidR="00344DC0" w:rsidRDefault="00344DC0" w:rsidP="00344DC0"/>
    <w:p w14:paraId="75DB186D" w14:textId="138408ED" w:rsidR="00344DC0" w:rsidRPr="00344DC0" w:rsidRDefault="00344DC0" w:rsidP="00344DC0">
      <w:pPr>
        <w:rPr>
          <w:rFonts w:hint="eastAsia"/>
        </w:rPr>
      </w:pPr>
      <w:r>
        <w:rPr>
          <w:rFonts w:hint="eastAsia"/>
        </w:rPr>
        <w:t xml:space="preserve">　</w:t>
      </w:r>
      <w:r>
        <w:rPr>
          <w:rFonts w:hint="eastAsia"/>
        </w:rPr>
        <w:t>Fig.</w:t>
      </w:r>
      <w:r>
        <w:rPr>
          <w:rFonts w:hint="eastAsia"/>
        </w:rPr>
        <w:t>3</w:t>
      </w:r>
      <w:r>
        <w:rPr>
          <w:rFonts w:hint="eastAsia"/>
        </w:rPr>
        <w:t>-</w:t>
      </w:r>
      <w:r>
        <w:rPr>
          <w:rFonts w:hint="eastAsia"/>
        </w:rPr>
        <w:t>2</w:t>
      </w:r>
      <w:r>
        <w:rPr>
          <w:rFonts w:hint="eastAsia"/>
        </w:rPr>
        <w:t>-2より、</w:t>
      </w:r>
      <w:r>
        <w:rPr>
          <w:rFonts w:hint="eastAsia"/>
        </w:rPr>
        <w:t>リンカーの異なるscFv-T3AP</w:t>
      </w:r>
      <w:r>
        <w:rPr>
          <w:rFonts w:hint="eastAsia"/>
        </w:rPr>
        <w:t>は</w:t>
      </w:r>
      <w:r>
        <w:rPr>
          <w:rFonts w:hint="eastAsia"/>
        </w:rPr>
        <w:t>それぞれ</w:t>
      </w:r>
      <w:r>
        <w:rPr>
          <w:rFonts w:hint="eastAsia"/>
        </w:rPr>
        <w:t>数ng単位の抗原を検出可能であることが示された。また、</w:t>
      </w:r>
      <w:r>
        <w:rPr>
          <w:rFonts w:hint="eastAsia"/>
        </w:rPr>
        <w:t>PLFLおよびPLPLと</w:t>
      </w:r>
      <w:r>
        <w:rPr>
          <w:rFonts w:hint="eastAsia"/>
        </w:rPr>
        <w:t>比較し、</w:t>
      </w:r>
      <w:r>
        <w:rPr>
          <w:rFonts w:hint="eastAsia"/>
        </w:rPr>
        <w:t>FLFLおよびFLPL</w:t>
      </w:r>
      <w:r>
        <w:rPr>
          <w:rFonts w:hint="eastAsia"/>
        </w:rPr>
        <w:t>の方が低濃度の抗原を検出していることから、</w:t>
      </w:r>
      <w:proofErr w:type="spellStart"/>
      <w:r w:rsidR="007B4CDC">
        <w:rPr>
          <w:rFonts w:hint="eastAsia"/>
        </w:rPr>
        <w:t>scFv</w:t>
      </w:r>
      <w:proofErr w:type="spellEnd"/>
      <w:r w:rsidR="007B4CDC">
        <w:rPr>
          <w:rFonts w:hint="eastAsia"/>
        </w:rPr>
        <w:t>のVHとVLの間のリンカー</w:t>
      </w:r>
      <w:r>
        <w:rPr>
          <w:rFonts w:hint="eastAsia"/>
        </w:rPr>
        <w:t>の</w:t>
      </w:r>
      <w:r w:rsidR="007B4CDC">
        <w:rPr>
          <w:rFonts w:hint="eastAsia"/>
        </w:rPr>
        <w:t>種類によって</w:t>
      </w:r>
      <w:r>
        <w:rPr>
          <w:rFonts w:hint="eastAsia"/>
        </w:rPr>
        <w:t>抗原認識力に差が生じていることが示唆された。</w:t>
      </w:r>
    </w:p>
    <w:p w14:paraId="744D5064" w14:textId="37CF0F5A" w:rsidR="00A46615" w:rsidRDefault="00A46615">
      <w:pPr>
        <w:widowControl/>
        <w:jc w:val="left"/>
        <w:rPr>
          <w:rFonts w:hint="eastAsia"/>
        </w:rPr>
      </w:pPr>
      <w:r>
        <w:br w:type="page"/>
      </w:r>
    </w:p>
    <w:p w14:paraId="654A3792" w14:textId="6DFAAED4" w:rsidR="00A46615" w:rsidRDefault="0068246D" w:rsidP="00A46615">
      <w:pPr>
        <w:pStyle w:val="a9"/>
        <w:numPr>
          <w:ilvl w:val="0"/>
          <w:numId w:val="3"/>
        </w:numPr>
        <w:jc w:val="left"/>
      </w:pPr>
      <w:bookmarkStart w:id="3" w:name="_Hlk206511973"/>
      <w:r>
        <w:rPr>
          <w:rFonts w:hint="eastAsia"/>
        </w:rPr>
        <w:lastRenderedPageBreak/>
        <w:t>リンカーの異なる</w:t>
      </w:r>
      <w:r w:rsidR="00A46615">
        <w:rPr>
          <w:rFonts w:hint="eastAsia"/>
        </w:rPr>
        <w:t>scFv-T3APを利用したCLEIA</w:t>
      </w:r>
    </w:p>
    <w:bookmarkEnd w:id="3"/>
    <w:p w14:paraId="745F7DE2" w14:textId="3D499CFB" w:rsidR="00014342" w:rsidRPr="00C474CF" w:rsidRDefault="00014342" w:rsidP="00014342">
      <w:pPr>
        <w:pStyle w:val="a9"/>
        <w:ind w:left="0"/>
        <w:jc w:val="left"/>
        <w:rPr>
          <w:rFonts w:hint="eastAsia"/>
        </w:rPr>
      </w:pPr>
      <w:r>
        <w:rPr>
          <w:rFonts w:hint="eastAsia"/>
        </w:rPr>
        <w:t xml:space="preserve">　リンカーの異なる</w:t>
      </w:r>
      <w:r>
        <w:rPr>
          <w:rFonts w:hint="eastAsia"/>
        </w:rPr>
        <w:t>scFv-T3AP溶液を用いてCLEIAを行い、CLEIA法でも抗原を検出できるかの評価を行った</w:t>
      </w:r>
      <w:r w:rsidRPr="00794ABD">
        <w:t>。</w:t>
      </w:r>
      <w:r>
        <w:rPr>
          <w:rFonts w:hint="eastAsia"/>
        </w:rPr>
        <w:t>その結果をFig.</w:t>
      </w:r>
      <w:r>
        <w:rPr>
          <w:rFonts w:hint="eastAsia"/>
        </w:rPr>
        <w:t>4</w:t>
      </w:r>
      <w:r>
        <w:rPr>
          <w:rFonts w:hint="eastAsia"/>
        </w:rPr>
        <w:t>-2に示す。</w:t>
      </w:r>
    </w:p>
    <w:p w14:paraId="0537C324" w14:textId="0E6D31BA" w:rsidR="00F522BD" w:rsidRPr="00014342" w:rsidRDefault="00F522BD" w:rsidP="00F522BD">
      <w:pPr>
        <w:pStyle w:val="a9"/>
        <w:ind w:left="0"/>
        <w:jc w:val="left"/>
      </w:pPr>
    </w:p>
    <w:p w14:paraId="49FDCD7B" w14:textId="77777777" w:rsidR="00F522BD" w:rsidRDefault="00F522BD" w:rsidP="00F522BD">
      <w:pPr>
        <w:pStyle w:val="a9"/>
        <w:keepNext/>
        <w:ind w:left="0"/>
        <w:jc w:val="center"/>
      </w:pPr>
      <w:r>
        <w:rPr>
          <w:noProof/>
        </w:rPr>
        <w:drawing>
          <wp:inline distT="0" distB="0" distL="0" distR="0" wp14:anchorId="28D1E2BB" wp14:editId="7A4C77CA">
            <wp:extent cx="3658448" cy="2556000"/>
            <wp:effectExtent l="0" t="0" r="0" b="0"/>
            <wp:docPr id="133529249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48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01BD9" w14:textId="22AF97D9" w:rsidR="00F522BD" w:rsidRDefault="00F522BD" w:rsidP="00F522BD">
      <w:pPr>
        <w:pStyle w:val="aa"/>
        <w:jc w:val="center"/>
        <w:rPr>
          <w:b w:val="0"/>
          <w:bCs w:val="0"/>
        </w:rPr>
      </w:pPr>
      <w:r w:rsidRPr="00F522BD">
        <w:rPr>
          <w:b w:val="0"/>
          <w:bCs w:val="0"/>
        </w:rPr>
        <w:t xml:space="preserve">Fig. </w:t>
      </w:r>
      <w:r>
        <w:rPr>
          <w:rFonts w:hint="eastAsia"/>
          <w:b w:val="0"/>
          <w:bCs w:val="0"/>
        </w:rPr>
        <w:t>4-1 CLEIAの模式図</w:t>
      </w:r>
    </w:p>
    <w:p w14:paraId="428A88F3" w14:textId="77777777" w:rsidR="003B4AFB" w:rsidRDefault="003B4AFB" w:rsidP="003B4AFB"/>
    <w:p w14:paraId="7DD0DD3D" w14:textId="77777777" w:rsidR="003B4AFB" w:rsidRDefault="003B4AFB" w:rsidP="003B4AFB">
      <w:pPr>
        <w:keepNext/>
        <w:jc w:val="center"/>
      </w:pPr>
      <w:r>
        <w:rPr>
          <w:noProof/>
        </w:rPr>
        <w:drawing>
          <wp:inline distT="0" distB="0" distL="0" distR="0" wp14:anchorId="2F825C64" wp14:editId="3FCCD5A3">
            <wp:extent cx="4200525" cy="2255520"/>
            <wp:effectExtent l="0" t="0" r="9525" b="0"/>
            <wp:docPr id="124050776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EE881" w14:textId="5ECBAB90" w:rsidR="003B4AFB" w:rsidRDefault="003B4AFB" w:rsidP="003B4AFB">
      <w:pPr>
        <w:pStyle w:val="aa"/>
        <w:jc w:val="center"/>
        <w:rPr>
          <w:b w:val="0"/>
          <w:bCs w:val="0"/>
        </w:rPr>
      </w:pPr>
      <w:r w:rsidRPr="003B4AFB">
        <w:rPr>
          <w:b w:val="0"/>
          <w:bCs w:val="0"/>
        </w:rPr>
        <w:t xml:space="preserve">Fig. </w:t>
      </w:r>
      <w:r>
        <w:rPr>
          <w:rFonts w:hint="eastAsia"/>
          <w:b w:val="0"/>
          <w:bCs w:val="0"/>
        </w:rPr>
        <w:t>4-2 scFv-T3APを利用したCLEIA</w:t>
      </w:r>
    </w:p>
    <w:p w14:paraId="3BDF8379" w14:textId="77777777" w:rsidR="00014342" w:rsidRDefault="00014342" w:rsidP="00014342"/>
    <w:p w14:paraId="2A85E1B5" w14:textId="10BBEB9D" w:rsidR="00014342" w:rsidRPr="00C474CF" w:rsidRDefault="00014342" w:rsidP="0078554D">
      <w:pPr>
        <w:pStyle w:val="a9"/>
        <w:ind w:left="0" w:firstLine="210"/>
        <w:jc w:val="left"/>
      </w:pPr>
      <w:bookmarkStart w:id="4" w:name="_Hlk206511966"/>
      <w:r>
        <w:rPr>
          <w:rFonts w:hint="eastAsia"/>
        </w:rPr>
        <w:t>Fig.</w:t>
      </w:r>
      <w:r>
        <w:rPr>
          <w:rFonts w:hint="eastAsia"/>
        </w:rPr>
        <w:t>4</w:t>
      </w:r>
      <w:r>
        <w:rPr>
          <w:rFonts w:hint="eastAsia"/>
        </w:rPr>
        <w:t>-2より、</w:t>
      </w:r>
      <w:r>
        <w:rPr>
          <w:rFonts w:hint="eastAsia"/>
        </w:rPr>
        <w:t>リンカーの異なる</w:t>
      </w:r>
      <w:r>
        <w:rPr>
          <w:rFonts w:hint="eastAsia"/>
        </w:rPr>
        <w:t>scFv-</w:t>
      </w:r>
      <w:r>
        <w:rPr>
          <w:rFonts w:hint="eastAsia"/>
        </w:rPr>
        <w:t>T3</w:t>
      </w:r>
      <w:r>
        <w:rPr>
          <w:rFonts w:hint="eastAsia"/>
        </w:rPr>
        <w:t>APを利用し、CLEIAで抗原を検出することが可能であることが分かった。</w:t>
      </w:r>
      <w:bookmarkStart w:id="5" w:name="_Hlk206512034"/>
      <w:r>
        <w:rPr>
          <w:rFonts w:hint="eastAsia"/>
        </w:rPr>
        <w:t>また、検出限界については、ELISAと同様に</w:t>
      </w:r>
      <w:r w:rsidR="0078554D">
        <w:rPr>
          <w:rFonts w:hint="eastAsia"/>
        </w:rPr>
        <w:t>PLFLおよびPLPL</w:t>
      </w:r>
      <w:r w:rsidR="0078554D">
        <w:rPr>
          <w:rFonts w:hint="eastAsia"/>
        </w:rPr>
        <w:t xml:space="preserve"> と比較し、</w:t>
      </w:r>
      <w:r>
        <w:rPr>
          <w:rFonts w:hint="eastAsia"/>
        </w:rPr>
        <w:t>FLFLおよびFLPL</w:t>
      </w:r>
      <w:r w:rsidR="0078554D">
        <w:rPr>
          <w:rFonts w:hint="eastAsia"/>
        </w:rPr>
        <w:t>の方が</w:t>
      </w:r>
      <w:r>
        <w:rPr>
          <w:rFonts w:hint="eastAsia"/>
        </w:rPr>
        <w:t>より低濃度の抗原を検出できることが示され</w:t>
      </w:r>
      <w:r w:rsidR="0078554D">
        <w:rPr>
          <w:rFonts w:hint="eastAsia"/>
        </w:rPr>
        <w:t>ている</w:t>
      </w:r>
      <w:r>
        <w:rPr>
          <w:rFonts w:hint="eastAsia"/>
        </w:rPr>
        <w:t>。</w:t>
      </w:r>
      <w:bookmarkEnd w:id="4"/>
      <w:bookmarkEnd w:id="5"/>
    </w:p>
    <w:p w14:paraId="53421E01" w14:textId="77777777" w:rsidR="00014342" w:rsidRPr="00014342" w:rsidRDefault="00014342" w:rsidP="00014342">
      <w:pPr>
        <w:rPr>
          <w:rFonts w:hint="eastAsia"/>
        </w:rPr>
      </w:pPr>
    </w:p>
    <w:p w14:paraId="686B5C6A" w14:textId="77777777" w:rsidR="00A46615" w:rsidRDefault="00A46615">
      <w:pPr>
        <w:widowControl/>
        <w:jc w:val="left"/>
      </w:pPr>
      <w:r>
        <w:br w:type="page"/>
      </w:r>
    </w:p>
    <w:p w14:paraId="6CACE084" w14:textId="3ED45D3D" w:rsidR="00255857" w:rsidRDefault="0068246D" w:rsidP="00A46615">
      <w:pPr>
        <w:pStyle w:val="a9"/>
        <w:numPr>
          <w:ilvl w:val="0"/>
          <w:numId w:val="3"/>
        </w:numPr>
        <w:jc w:val="left"/>
      </w:pPr>
      <w:bookmarkStart w:id="6" w:name="_Hlk206512047"/>
      <w:r>
        <w:rPr>
          <w:rFonts w:hint="eastAsia"/>
        </w:rPr>
        <w:lastRenderedPageBreak/>
        <w:t>リンカーの異なる</w:t>
      </w:r>
      <w:r w:rsidR="00A46615">
        <w:rPr>
          <w:rFonts w:hint="eastAsia"/>
        </w:rPr>
        <w:t>scFv-T3APを利用したLFIA</w:t>
      </w:r>
    </w:p>
    <w:bookmarkEnd w:id="6"/>
    <w:p w14:paraId="147E025D" w14:textId="331180F1" w:rsidR="002E5BB9" w:rsidRDefault="0078554D" w:rsidP="0078554D">
      <w:pPr>
        <w:pStyle w:val="a9"/>
        <w:ind w:left="0" w:firstLine="210"/>
        <w:jc w:val="left"/>
      </w:pPr>
      <w:r>
        <w:rPr>
          <w:rFonts w:hint="eastAsia"/>
        </w:rPr>
        <w:t>リンカーの異なるscFv-T3AP溶液を用いて</w:t>
      </w:r>
      <w:r>
        <w:rPr>
          <w:rFonts w:hint="eastAsia"/>
        </w:rPr>
        <w:t>LFIA</w:t>
      </w:r>
      <w:r>
        <w:rPr>
          <w:rFonts w:hint="eastAsia"/>
        </w:rPr>
        <w:t>を行い、</w:t>
      </w:r>
      <w:r>
        <w:rPr>
          <w:rFonts w:hint="eastAsia"/>
        </w:rPr>
        <w:t>LFIA</w:t>
      </w:r>
      <w:r>
        <w:rPr>
          <w:rFonts w:hint="eastAsia"/>
        </w:rPr>
        <w:t>法でも抗原を検出できるかの評価を行った</w:t>
      </w:r>
      <w:r w:rsidRPr="00794ABD">
        <w:t>。</w:t>
      </w:r>
      <w:r>
        <w:rPr>
          <w:rFonts w:hint="eastAsia"/>
        </w:rPr>
        <w:t>その結果をFig.</w:t>
      </w:r>
      <w:r>
        <w:rPr>
          <w:rFonts w:hint="eastAsia"/>
        </w:rPr>
        <w:t xml:space="preserve"> 5</w:t>
      </w:r>
      <w:r>
        <w:rPr>
          <w:rFonts w:hint="eastAsia"/>
        </w:rPr>
        <w:t>-2</w:t>
      </w:r>
      <w:r>
        <w:rPr>
          <w:rFonts w:hint="eastAsia"/>
        </w:rPr>
        <w:t>およびFig. 5-3</w:t>
      </w:r>
      <w:r>
        <w:rPr>
          <w:rFonts w:hint="eastAsia"/>
        </w:rPr>
        <w:t>に示す。</w:t>
      </w:r>
    </w:p>
    <w:p w14:paraId="72918ACC" w14:textId="77777777" w:rsidR="0078554D" w:rsidRDefault="0078554D" w:rsidP="0078554D">
      <w:pPr>
        <w:pStyle w:val="a9"/>
        <w:ind w:left="0" w:firstLine="210"/>
        <w:jc w:val="left"/>
        <w:rPr>
          <w:rFonts w:hint="eastAsia"/>
        </w:rPr>
      </w:pPr>
    </w:p>
    <w:p w14:paraId="05D727BE" w14:textId="77777777" w:rsidR="002E5BB9" w:rsidRDefault="002E5BB9" w:rsidP="002E5BB9">
      <w:pPr>
        <w:pStyle w:val="a9"/>
        <w:keepNext/>
        <w:ind w:left="0"/>
        <w:jc w:val="center"/>
      </w:pPr>
      <w:r>
        <w:rPr>
          <w:noProof/>
        </w:rPr>
        <w:drawing>
          <wp:inline distT="0" distB="0" distL="0" distR="0" wp14:anchorId="4E3CCA6F" wp14:editId="70C6AF82">
            <wp:extent cx="4811151" cy="2555474"/>
            <wp:effectExtent l="0" t="0" r="0" b="0"/>
            <wp:docPr id="131963593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695" cy="25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EC11E" w14:textId="7B388F74" w:rsidR="00A46615" w:rsidRDefault="002E5BB9" w:rsidP="002E5BB9">
      <w:pPr>
        <w:pStyle w:val="aa"/>
        <w:jc w:val="center"/>
        <w:rPr>
          <w:b w:val="0"/>
          <w:bCs w:val="0"/>
        </w:rPr>
      </w:pPr>
      <w:r w:rsidRPr="002E5BB9">
        <w:rPr>
          <w:b w:val="0"/>
          <w:bCs w:val="0"/>
        </w:rPr>
        <w:t xml:space="preserve">Fig. </w:t>
      </w:r>
      <w:r>
        <w:rPr>
          <w:rFonts w:hint="eastAsia"/>
          <w:b w:val="0"/>
          <w:bCs w:val="0"/>
        </w:rPr>
        <w:t>5-1 LFIAの模式図</w:t>
      </w:r>
    </w:p>
    <w:p w14:paraId="0B4B3A26" w14:textId="77777777" w:rsidR="004A4DB7" w:rsidRDefault="004A4DB7" w:rsidP="004A4DB7"/>
    <w:p w14:paraId="77DF1419" w14:textId="77777777" w:rsidR="004A4DB7" w:rsidRDefault="004A4DB7" w:rsidP="004A4DB7">
      <w:pPr>
        <w:keepNext/>
        <w:jc w:val="center"/>
      </w:pPr>
      <w:r>
        <w:rPr>
          <w:noProof/>
        </w:rPr>
        <w:drawing>
          <wp:inline distT="0" distB="0" distL="0" distR="0" wp14:anchorId="4AF2168D" wp14:editId="5868B5AC">
            <wp:extent cx="2550017" cy="3163896"/>
            <wp:effectExtent l="0" t="0" r="3175" b="0"/>
            <wp:docPr id="183521448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19" cy="317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C140A" w14:textId="089D78A8" w:rsidR="004A4DB7" w:rsidRPr="004A4DB7" w:rsidRDefault="004A4DB7" w:rsidP="004A4DB7">
      <w:pPr>
        <w:pStyle w:val="aa"/>
        <w:jc w:val="center"/>
        <w:rPr>
          <w:rFonts w:hint="eastAsia"/>
          <w:b w:val="0"/>
          <w:bCs w:val="0"/>
        </w:rPr>
      </w:pPr>
      <w:r w:rsidRPr="004A4DB7">
        <w:rPr>
          <w:b w:val="0"/>
          <w:bCs w:val="0"/>
        </w:rPr>
        <w:t xml:space="preserve">Fig. </w:t>
      </w:r>
      <w:r>
        <w:rPr>
          <w:rFonts w:hint="eastAsia"/>
          <w:b w:val="0"/>
          <w:bCs w:val="0"/>
        </w:rPr>
        <w:t>5-2 scFv-T3APを利用したLFIA</w:t>
      </w:r>
      <w:r w:rsidR="00E72195">
        <w:rPr>
          <w:rFonts w:hint="eastAsia"/>
          <w:b w:val="0"/>
          <w:bCs w:val="0"/>
        </w:rPr>
        <w:t>で</w:t>
      </w:r>
      <w:r>
        <w:rPr>
          <w:rFonts w:hint="eastAsia"/>
          <w:b w:val="0"/>
          <w:bCs w:val="0"/>
        </w:rPr>
        <w:t>発色、洗浄</w:t>
      </w:r>
      <w:r w:rsidR="00E72195">
        <w:rPr>
          <w:rFonts w:hint="eastAsia"/>
          <w:b w:val="0"/>
          <w:bCs w:val="0"/>
        </w:rPr>
        <w:t>した</w:t>
      </w:r>
      <w:r>
        <w:rPr>
          <w:rFonts w:hint="eastAsia"/>
          <w:b w:val="0"/>
          <w:bCs w:val="0"/>
        </w:rPr>
        <w:t>後</w:t>
      </w:r>
      <w:r w:rsidR="00E72195">
        <w:rPr>
          <w:rFonts w:hint="eastAsia"/>
          <w:b w:val="0"/>
          <w:bCs w:val="0"/>
        </w:rPr>
        <w:t>の</w:t>
      </w:r>
      <w:r>
        <w:rPr>
          <w:rFonts w:hint="eastAsia"/>
          <w:b w:val="0"/>
          <w:bCs w:val="0"/>
        </w:rPr>
        <w:t>NC膜</w:t>
      </w:r>
    </w:p>
    <w:p w14:paraId="70415019" w14:textId="77777777" w:rsidR="00E72195" w:rsidRDefault="00E72195" w:rsidP="00E7219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7B3EAC0" wp14:editId="499C104D">
            <wp:extent cx="3481070" cy="2536190"/>
            <wp:effectExtent l="0" t="0" r="5080" b="0"/>
            <wp:docPr id="68228420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FBA41" w14:textId="1E8E048C" w:rsidR="002E5BB9" w:rsidRDefault="00E72195" w:rsidP="00E72195">
      <w:pPr>
        <w:pStyle w:val="aa"/>
        <w:jc w:val="center"/>
        <w:rPr>
          <w:b w:val="0"/>
          <w:bCs w:val="0"/>
        </w:rPr>
      </w:pPr>
      <w:r w:rsidRPr="00E72195">
        <w:rPr>
          <w:b w:val="0"/>
          <w:bCs w:val="0"/>
        </w:rPr>
        <w:t xml:space="preserve">Fig. </w:t>
      </w:r>
      <w:r>
        <w:rPr>
          <w:rFonts w:hint="eastAsia"/>
          <w:b w:val="0"/>
          <w:bCs w:val="0"/>
        </w:rPr>
        <w:t>5-</w:t>
      </w:r>
      <w:r w:rsidRPr="00E72195">
        <w:rPr>
          <w:b w:val="0"/>
          <w:bCs w:val="0"/>
        </w:rPr>
        <w:fldChar w:fldCharType="begin"/>
      </w:r>
      <w:r w:rsidRPr="00E72195">
        <w:rPr>
          <w:b w:val="0"/>
          <w:bCs w:val="0"/>
        </w:rPr>
        <w:instrText xml:space="preserve"> SEQ Fig. \* ARABIC </w:instrText>
      </w:r>
      <w:r w:rsidRPr="00E72195">
        <w:rPr>
          <w:b w:val="0"/>
          <w:bCs w:val="0"/>
        </w:rPr>
        <w:fldChar w:fldCharType="separate"/>
      </w:r>
      <w:r w:rsidRPr="00E72195">
        <w:rPr>
          <w:b w:val="0"/>
          <w:bCs w:val="0"/>
          <w:noProof/>
        </w:rPr>
        <w:t>3</w:t>
      </w:r>
      <w:r w:rsidRPr="00E72195">
        <w:rPr>
          <w:b w:val="0"/>
          <w:bCs w:val="0"/>
        </w:rPr>
        <w:fldChar w:fldCharType="end"/>
      </w:r>
      <w:r>
        <w:rPr>
          <w:rFonts w:hint="eastAsia"/>
          <w:b w:val="0"/>
          <w:bCs w:val="0"/>
        </w:rPr>
        <w:t xml:space="preserve"> scFv-T3APを利用したLFIAで発色、洗浄後のNC膜の</w:t>
      </w:r>
      <w:r>
        <w:rPr>
          <w:rFonts w:hint="eastAsia"/>
          <w:b w:val="0"/>
          <w:bCs w:val="0"/>
        </w:rPr>
        <w:t>ImageJによ</w:t>
      </w:r>
      <w:r>
        <w:rPr>
          <w:rFonts w:hint="eastAsia"/>
          <w:b w:val="0"/>
          <w:bCs w:val="0"/>
        </w:rPr>
        <w:t>る</w:t>
      </w:r>
      <w:r>
        <w:rPr>
          <w:rFonts w:hint="eastAsia"/>
          <w:b w:val="0"/>
          <w:bCs w:val="0"/>
        </w:rPr>
        <w:t>定量</w:t>
      </w:r>
      <w:r>
        <w:rPr>
          <w:rFonts w:hint="eastAsia"/>
          <w:b w:val="0"/>
          <w:bCs w:val="0"/>
        </w:rPr>
        <w:t>結果</w:t>
      </w:r>
    </w:p>
    <w:p w14:paraId="4268C48C" w14:textId="77777777" w:rsidR="0078554D" w:rsidRDefault="0078554D" w:rsidP="0078554D"/>
    <w:p w14:paraId="4A5647E5" w14:textId="7E075F15" w:rsidR="00A90C9E" w:rsidRPr="00C474CF" w:rsidRDefault="00A90C9E" w:rsidP="00A90C9E">
      <w:pPr>
        <w:pStyle w:val="a9"/>
        <w:ind w:left="0" w:firstLine="210"/>
        <w:jc w:val="left"/>
      </w:pPr>
      <w:r>
        <w:rPr>
          <w:rFonts w:hint="eastAsia"/>
        </w:rPr>
        <w:t>Fig.</w:t>
      </w:r>
      <w:r>
        <w:rPr>
          <w:rFonts w:hint="eastAsia"/>
        </w:rPr>
        <w:t>5</w:t>
      </w:r>
      <w:r>
        <w:rPr>
          <w:rFonts w:hint="eastAsia"/>
        </w:rPr>
        <w:t>-2より、リンカーの異なるscFv-T3APを利用し、</w:t>
      </w:r>
      <w:r>
        <w:rPr>
          <w:rFonts w:hint="eastAsia"/>
        </w:rPr>
        <w:t>LFIA法</w:t>
      </w:r>
      <w:r>
        <w:rPr>
          <w:rFonts w:hint="eastAsia"/>
        </w:rPr>
        <w:t>で抗原を検出することが可能であることが分かった。また、</w:t>
      </w:r>
      <w:r>
        <w:rPr>
          <w:rFonts w:hint="eastAsia"/>
        </w:rPr>
        <w:t>1 ng/mLの濃度の抗原を検出できることも明らかとなった。さらに、Fig.5-3より、</w:t>
      </w:r>
      <w:r>
        <w:rPr>
          <w:rFonts w:hint="eastAsia"/>
        </w:rPr>
        <w:t>FLPL</w:t>
      </w:r>
      <w:r>
        <w:rPr>
          <w:rFonts w:hint="eastAsia"/>
        </w:rPr>
        <w:t>、FLFL、PLFLおよびPLPL</w:t>
      </w:r>
      <w:r>
        <w:rPr>
          <w:rFonts w:hint="eastAsia"/>
        </w:rPr>
        <w:t>の</w:t>
      </w:r>
      <w:r>
        <w:rPr>
          <w:rFonts w:hint="eastAsia"/>
        </w:rPr>
        <w:t>順により低濃度の</w:t>
      </w:r>
      <w:r>
        <w:rPr>
          <w:rFonts w:hint="eastAsia"/>
        </w:rPr>
        <w:t>抗原を検出できることが</w:t>
      </w:r>
      <w:r>
        <w:rPr>
          <w:rFonts w:hint="eastAsia"/>
        </w:rPr>
        <w:t>示唆された</w:t>
      </w:r>
      <w:r>
        <w:rPr>
          <w:rFonts w:hint="eastAsia"/>
        </w:rPr>
        <w:t>。</w:t>
      </w:r>
    </w:p>
    <w:p w14:paraId="341EF55D" w14:textId="6B10F594" w:rsidR="0078554D" w:rsidRPr="00A90C9E" w:rsidRDefault="0078554D" w:rsidP="0078554D">
      <w:pPr>
        <w:rPr>
          <w:rFonts w:hint="eastAsia"/>
        </w:rPr>
      </w:pPr>
    </w:p>
    <w:sectPr w:rsidR="0078554D" w:rsidRPr="00A90C9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B17704"/>
    <w:multiLevelType w:val="hybridMultilevel"/>
    <w:tmpl w:val="B8504BD4"/>
    <w:lvl w:ilvl="0" w:tplc="49A82B5C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7" w:hanging="440"/>
      </w:pPr>
    </w:lvl>
    <w:lvl w:ilvl="2" w:tplc="04090011" w:tentative="1">
      <w:start w:val="1"/>
      <w:numFmt w:val="decimalEnclosedCircle"/>
      <w:lvlText w:val="%3"/>
      <w:lvlJc w:val="left"/>
      <w:pPr>
        <w:ind w:left="1887" w:hanging="440"/>
      </w:pPr>
    </w:lvl>
    <w:lvl w:ilvl="3" w:tplc="0409000F" w:tentative="1">
      <w:start w:val="1"/>
      <w:numFmt w:val="decimal"/>
      <w:lvlText w:val="%4."/>
      <w:lvlJc w:val="left"/>
      <w:pPr>
        <w:ind w:left="2327" w:hanging="440"/>
      </w:pPr>
    </w:lvl>
    <w:lvl w:ilvl="4" w:tplc="04090017" w:tentative="1">
      <w:start w:val="1"/>
      <w:numFmt w:val="aiueoFullWidth"/>
      <w:lvlText w:val="(%5)"/>
      <w:lvlJc w:val="left"/>
      <w:pPr>
        <w:ind w:left="2767" w:hanging="440"/>
      </w:pPr>
    </w:lvl>
    <w:lvl w:ilvl="5" w:tplc="04090011" w:tentative="1">
      <w:start w:val="1"/>
      <w:numFmt w:val="decimalEnclosedCircle"/>
      <w:lvlText w:val="%6"/>
      <w:lvlJc w:val="left"/>
      <w:pPr>
        <w:ind w:left="3207" w:hanging="440"/>
      </w:pPr>
    </w:lvl>
    <w:lvl w:ilvl="6" w:tplc="0409000F" w:tentative="1">
      <w:start w:val="1"/>
      <w:numFmt w:val="decimal"/>
      <w:lvlText w:val="%7."/>
      <w:lvlJc w:val="left"/>
      <w:pPr>
        <w:ind w:left="3647" w:hanging="440"/>
      </w:pPr>
    </w:lvl>
    <w:lvl w:ilvl="7" w:tplc="04090017" w:tentative="1">
      <w:start w:val="1"/>
      <w:numFmt w:val="aiueoFullWidth"/>
      <w:lvlText w:val="(%8)"/>
      <w:lvlJc w:val="left"/>
      <w:pPr>
        <w:ind w:left="4087" w:hanging="440"/>
      </w:pPr>
    </w:lvl>
    <w:lvl w:ilvl="8" w:tplc="04090011" w:tentative="1">
      <w:start w:val="1"/>
      <w:numFmt w:val="decimalEnclosedCircle"/>
      <w:lvlText w:val="%9"/>
      <w:lvlJc w:val="left"/>
      <w:pPr>
        <w:ind w:left="4527" w:hanging="440"/>
      </w:pPr>
    </w:lvl>
  </w:abstractNum>
  <w:abstractNum w:abstractNumId="1" w15:restartNumberingAfterBreak="0">
    <w:nsid w:val="5CB37ABE"/>
    <w:multiLevelType w:val="multilevel"/>
    <w:tmpl w:val="F6A228EE"/>
    <w:lvl w:ilvl="0">
      <w:start w:val="1"/>
      <w:numFmt w:val="decimalFullWidth"/>
      <w:suff w:val="nothing"/>
      <w:lvlText w:val="%1"/>
      <w:lvlJc w:val="left"/>
      <w:pPr>
        <w:ind w:left="0" w:firstLine="0"/>
      </w:p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  <w:rPr>
        <w:lang w:val="en-US"/>
      </w:r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</w:lvl>
  </w:abstractNum>
  <w:abstractNum w:abstractNumId="2" w15:restartNumberingAfterBreak="0">
    <w:nsid w:val="773A34CF"/>
    <w:multiLevelType w:val="multilevel"/>
    <w:tmpl w:val="520045AE"/>
    <w:lvl w:ilvl="0">
      <w:start w:val="3"/>
      <w:numFmt w:val="decimalFullWidth"/>
      <w:suff w:val="nothing"/>
      <w:lvlText w:val="%1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  <w:rPr>
        <w:rFonts w:hint="eastAsia"/>
      </w:r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  <w:rPr>
        <w:rFonts w:hint="eastAsia"/>
      </w:r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  <w:rPr>
        <w:rFonts w:hint="eastAsia"/>
      </w:r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  <w:rPr>
        <w:rFonts w:hint="eastAsia"/>
      </w:r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  <w:rPr>
        <w:rFonts w:hint="eastAsia"/>
      </w:r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  <w:rPr>
        <w:rFonts w:hint="eastAsia"/>
      </w:r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  <w:rPr>
        <w:rFonts w:hint="eastAsia"/>
      </w:r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  <w:rPr>
        <w:rFonts w:hint="eastAsia"/>
      </w:rPr>
    </w:lvl>
  </w:abstractNum>
  <w:abstractNum w:abstractNumId="3" w15:restartNumberingAfterBreak="0">
    <w:nsid w:val="7824510D"/>
    <w:multiLevelType w:val="multilevel"/>
    <w:tmpl w:val="4D9263B8"/>
    <w:lvl w:ilvl="0">
      <w:start w:val="2"/>
      <w:numFmt w:val="decimalFullWidth"/>
      <w:suff w:val="nothing"/>
      <w:lvlText w:val="%1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FullWidth"/>
      <w:suff w:val="nothing"/>
      <w:lvlText w:val="%1-%2"/>
      <w:lvlJc w:val="left"/>
      <w:pPr>
        <w:ind w:left="0" w:firstLine="0"/>
      </w:pPr>
      <w:rPr>
        <w:rFonts w:hint="eastAsia"/>
      </w:rPr>
    </w:lvl>
    <w:lvl w:ilvl="2">
      <w:start w:val="1"/>
      <w:numFmt w:val="decimalFullWidth"/>
      <w:suff w:val="nothing"/>
      <w:lvlText w:val="%1-%2-%3"/>
      <w:lvlJc w:val="left"/>
      <w:pPr>
        <w:ind w:left="0" w:firstLine="0"/>
      </w:pPr>
      <w:rPr>
        <w:rFonts w:hint="eastAsia"/>
      </w:rPr>
    </w:lvl>
    <w:lvl w:ilvl="3">
      <w:start w:val="1"/>
      <w:numFmt w:val="decimalFullWidth"/>
      <w:suff w:val="nothing"/>
      <w:lvlText w:val="%1-%2-%3-%4"/>
      <w:lvlJc w:val="left"/>
      <w:pPr>
        <w:ind w:left="0" w:firstLine="0"/>
      </w:pPr>
      <w:rPr>
        <w:rFonts w:hint="eastAsia"/>
      </w:rPr>
    </w:lvl>
    <w:lvl w:ilvl="4">
      <w:start w:val="1"/>
      <w:numFmt w:val="decimalFullWidth"/>
      <w:suff w:val="nothing"/>
      <w:lvlText w:val="%1-%2-%3-%4-%5"/>
      <w:lvlJc w:val="left"/>
      <w:pPr>
        <w:ind w:left="0" w:firstLine="0"/>
      </w:pPr>
      <w:rPr>
        <w:rFonts w:hint="eastAsia"/>
      </w:r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  <w:rPr>
        <w:rFonts w:hint="eastAsia"/>
      </w:r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  <w:rPr>
        <w:rFonts w:hint="eastAsia"/>
      </w:r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  <w:rPr>
        <w:rFonts w:hint="eastAsia"/>
      </w:r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  <w:rPr>
        <w:rFonts w:hint="eastAsia"/>
      </w:rPr>
    </w:lvl>
  </w:abstractNum>
  <w:num w:numId="1" w16cid:durableId="638875417">
    <w:abstractNumId w:val="1"/>
  </w:num>
  <w:num w:numId="2" w16cid:durableId="327094880">
    <w:abstractNumId w:val="0"/>
  </w:num>
  <w:num w:numId="3" w16cid:durableId="1550803850">
    <w:abstractNumId w:val="2"/>
  </w:num>
  <w:num w:numId="4" w16cid:durableId="20551505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857"/>
    <w:rsid w:val="00014342"/>
    <w:rsid w:val="001D086C"/>
    <w:rsid w:val="00255857"/>
    <w:rsid w:val="002E5BB9"/>
    <w:rsid w:val="002F23AD"/>
    <w:rsid w:val="00316B10"/>
    <w:rsid w:val="00344DC0"/>
    <w:rsid w:val="003612B0"/>
    <w:rsid w:val="003B4AFB"/>
    <w:rsid w:val="003F49D5"/>
    <w:rsid w:val="004A4DB7"/>
    <w:rsid w:val="00565F87"/>
    <w:rsid w:val="0057088C"/>
    <w:rsid w:val="00671276"/>
    <w:rsid w:val="0068246D"/>
    <w:rsid w:val="006C39CA"/>
    <w:rsid w:val="006F68AF"/>
    <w:rsid w:val="007731A4"/>
    <w:rsid w:val="0078554D"/>
    <w:rsid w:val="007B4CDC"/>
    <w:rsid w:val="0085338F"/>
    <w:rsid w:val="009101B9"/>
    <w:rsid w:val="009D2782"/>
    <w:rsid w:val="009E2CE2"/>
    <w:rsid w:val="00A46615"/>
    <w:rsid w:val="00A54669"/>
    <w:rsid w:val="00A90C9E"/>
    <w:rsid w:val="00AC01E1"/>
    <w:rsid w:val="00B2539C"/>
    <w:rsid w:val="00BB3F81"/>
    <w:rsid w:val="00BF11EF"/>
    <w:rsid w:val="00C21663"/>
    <w:rsid w:val="00C43C30"/>
    <w:rsid w:val="00E72195"/>
    <w:rsid w:val="00EE5393"/>
    <w:rsid w:val="00F522BD"/>
    <w:rsid w:val="00F658D9"/>
    <w:rsid w:val="00F715D2"/>
    <w:rsid w:val="00FB3FA5"/>
    <w:rsid w:val="00FD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0573EF"/>
  <w15:chartTrackingRefBased/>
  <w15:docId w15:val="{22F93E7F-6F3B-4210-B5C4-F140EC036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585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5585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58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585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585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5857"/>
    <w:pPr>
      <w:keepNext/>
      <w:keepLines/>
      <w:spacing w:before="80" w:after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5857"/>
    <w:pPr>
      <w:keepNext/>
      <w:keepLines/>
      <w:spacing w:before="80" w:after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5857"/>
    <w:pPr>
      <w:keepNext/>
      <w:keepLines/>
      <w:spacing w:before="80" w:after="4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5857"/>
    <w:pPr>
      <w:keepNext/>
      <w:keepLines/>
      <w:spacing w:before="80" w:after="4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5857"/>
    <w:pPr>
      <w:keepNext/>
      <w:keepLines/>
      <w:spacing w:before="80" w:after="4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5585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5585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5585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558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558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558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558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5585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5585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5585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558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5585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5585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5585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5585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5585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5585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558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5585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55857"/>
    <w:rPr>
      <w:b/>
      <w:bCs/>
      <w:smallCaps/>
      <w:color w:val="0F4761" w:themeColor="accent1" w:themeShade="BF"/>
      <w:spacing w:val="5"/>
    </w:rPr>
  </w:style>
  <w:style w:type="paragraph" w:styleId="aa">
    <w:name w:val="caption"/>
    <w:basedOn w:val="a"/>
    <w:next w:val="a"/>
    <w:uiPriority w:val="35"/>
    <w:unhideWhenUsed/>
    <w:qFormat/>
    <w:rsid w:val="00255857"/>
    <w:rPr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美結 大村</dc:creator>
  <cp:keywords/>
  <dc:description/>
  <cp:lastModifiedBy>美結 大村</cp:lastModifiedBy>
  <cp:revision>2</cp:revision>
  <dcterms:created xsi:type="dcterms:W3CDTF">2025-08-19T07:14:00Z</dcterms:created>
  <dcterms:modified xsi:type="dcterms:W3CDTF">2025-08-19T07:14:00Z</dcterms:modified>
</cp:coreProperties>
</file>